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2CD0" w14:textId="304D5E24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Ogłoszenie o naborze wniosków o dofinansowanie prowadzenia prac B+R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 xml:space="preserve">w odniesieniu do wyników badań o zidentyfikowanym potencjale komercyjnym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w ramach zadania nr 1 „Inkubator Rozwoju”</w:t>
      </w:r>
      <w:r w:rsidR="00B273A5"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projektu pn. „Science4Business - Nauka dla Biznesu”</w:t>
      </w:r>
    </w:p>
    <w:p w14:paraId="276F0A2F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Harmonogram naboru</w:t>
      </w:r>
    </w:p>
    <w:p w14:paraId="49DB8750" w14:textId="740B5F85" w:rsidR="00011601" w:rsidRPr="00AD0AF4" w:rsidRDefault="00EE5F8F" w:rsidP="00AD0AF4">
      <w:pPr>
        <w:spacing w:before="2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Aktualny nabór:</w:t>
      </w:r>
      <w:r w:rsidR="00011601" w:rsidRPr="00AD0AF4">
        <w:rPr>
          <w:rFonts w:ascii="Arial" w:eastAsia="Times New Roman" w:hAnsi="Arial" w:cs="Arial"/>
          <w:noProof/>
          <w:color w:val="000000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drawing>
          <wp:inline distT="0" distB="0" distL="0" distR="0" wp14:anchorId="69F21273" wp14:editId="06BAA637">
            <wp:extent cx="257175" cy="257175"/>
            <wp:effectExtent l="0" t="0" r="9525" b="9525"/>
            <wp:docPr id="6" name="Obraz 3" descr="Kalendarz dzienny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alendarz dzienny kont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  <w:t>od 26.09.2025 r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="00011601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do 22.10.2025 r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1A171066" w14:textId="77777777" w:rsidR="0041448A" w:rsidRPr="00AD0AF4" w:rsidRDefault="0041448A" w:rsidP="00AD0AF4">
      <w:pPr>
        <w:spacing w:before="240"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Nabór wniosków w ramach Konkursu odbywa się jednorazowo.</w:t>
      </w:r>
    </w:p>
    <w:p w14:paraId="101D602A" w14:textId="4965DBE6" w:rsidR="00011601" w:rsidRPr="00AD0AF4" w:rsidRDefault="00011601" w:rsidP="00AD0AF4">
      <w:pPr>
        <w:spacing w:before="2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Planowane terminy kolejnych działań:</w:t>
      </w:r>
    </w:p>
    <w:p w14:paraId="51FEF702" w14:textId="38A94554" w:rsidR="00011601" w:rsidRPr="00AD0AF4" w:rsidRDefault="00011601" w:rsidP="00AD0AF4">
      <w:pPr>
        <w:numPr>
          <w:ilvl w:val="0"/>
          <w:numId w:val="4"/>
        </w:numPr>
        <w:tabs>
          <w:tab w:val="clear" w:pos="720"/>
          <w:tab w:val="num" w:pos="0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11. 2025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przedstawienie listy rankingowej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</w:p>
    <w:p w14:paraId="3D56FA11" w14:textId="040E6E47" w:rsidR="00011601" w:rsidRPr="00AD0AF4" w:rsidRDefault="00011601" w:rsidP="00AD0AF4">
      <w:pPr>
        <w:numPr>
          <w:ilvl w:val="0"/>
          <w:numId w:val="4"/>
        </w:numPr>
        <w:tabs>
          <w:tab w:val="clear" w:pos="720"/>
          <w:tab w:val="num" w:pos="0"/>
        </w:tabs>
        <w:spacing w:after="24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13-14.11.2025</w:t>
      </w:r>
      <w:r w:rsidR="00764D77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- prezentacje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założeń i celów Prac B+R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Uczestników podczas posiedzenia Komitetu Inwestycyjnego.</w:t>
      </w:r>
    </w:p>
    <w:p w14:paraId="4CC43F0F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Cel naboru</w:t>
      </w:r>
    </w:p>
    <w:p w14:paraId="1FB3F6F8" w14:textId="77777777" w:rsidR="00011601" w:rsidRPr="00AD0AF4" w:rsidRDefault="00011601" w:rsidP="00AD0AF4">
      <w:pPr>
        <w:spacing w:before="2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Celem przedsięwzięcia jest wsparcie zarządzania wynikami prowadzonych badań naukowych i prac rozwojowych w procesie ich komercjalizacji. Realizacja przedsięwzięcia powinna przyczynić się do: </w:t>
      </w:r>
    </w:p>
    <w:p w14:paraId="56165DBC" w14:textId="77777777" w:rsidR="00011601" w:rsidRPr="00AD0AF4" w:rsidRDefault="00011601" w:rsidP="00AD0AF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komercjalizacji wyników działalności naukowej, </w:t>
      </w:r>
    </w:p>
    <w:p w14:paraId="3316E6BD" w14:textId="77777777" w:rsidR="00011601" w:rsidRPr="00AD0AF4" w:rsidRDefault="00011601" w:rsidP="00AD0AF4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zwiększenia ich wpływu na rozwój innowacyjności, </w:t>
      </w:r>
    </w:p>
    <w:p w14:paraId="109EBAA7" w14:textId="47829737" w:rsidR="00011601" w:rsidRPr="00AD0AF4" w:rsidRDefault="00011601" w:rsidP="00AD0AF4">
      <w:pPr>
        <w:numPr>
          <w:ilvl w:val="0"/>
          <w:numId w:val="5"/>
        </w:numPr>
        <w:tabs>
          <w:tab w:val="clear" w:pos="720"/>
        </w:tabs>
        <w:spacing w:after="240" w:line="360" w:lineRule="auto"/>
        <w:ind w:left="284" w:hanging="284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wzmocnienia współpracy między środowiskiem naukowym</w:t>
      </w:r>
      <w:r w:rsidR="006806AC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a otoczeniem gospodarczym, w tym również poprzez promocję.</w:t>
      </w:r>
    </w:p>
    <w:p w14:paraId="346B51EA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Uczestnicy Konkursu</w:t>
      </w:r>
    </w:p>
    <w:p w14:paraId="5F6709F4" w14:textId="7E13506D" w:rsidR="00EE5F8F" w:rsidRPr="00AD0AF4" w:rsidRDefault="00EE5F8F" w:rsidP="00AD0AF4">
      <w:pPr>
        <w:spacing w:before="240" w:after="24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Nabór skierowany jest do zespołów badawczych, w skład których wchodzą: </w:t>
      </w:r>
      <w:r w:rsidR="00AD0AF4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pracownicy naukowi, badawczo-techniczni, inżynieryjno-techniczni, doktoranci, studenci</w:t>
      </w:r>
      <w:r w:rsid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Kierownikiem projektu może być wyłącznie pracownik zatrudniony w UWM </w:t>
      </w:r>
      <w:r w:rsidR="006806AC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Olsztynie.</w:t>
      </w:r>
    </w:p>
    <w:p w14:paraId="69138081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Miejsce składania wniosków</w:t>
      </w:r>
    </w:p>
    <w:p w14:paraId="2C35BFF0" w14:textId="77777777" w:rsidR="00011601" w:rsidRPr="00AD0AF4" w:rsidRDefault="00011601" w:rsidP="00AD0AF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Centrum Współpracy z Otoczeniem Społeczno-Gospodarczym</w:t>
      </w:r>
    </w:p>
    <w:p w14:paraId="25112352" w14:textId="77777777" w:rsidR="00011601" w:rsidRPr="00AD0AF4" w:rsidRDefault="00011601" w:rsidP="00AD0AF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Uniwersytet Warmińsko-Mazurski w Olsztynie</w:t>
      </w:r>
    </w:p>
    <w:p w14:paraId="1D84BF0F" w14:textId="77777777" w:rsidR="00011601" w:rsidRPr="00AD0AF4" w:rsidRDefault="00011601" w:rsidP="00AD0AF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ul. </w:t>
      </w:r>
      <w:proofErr w:type="spellStart"/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Prawocheńskiego</w:t>
      </w:r>
      <w:proofErr w:type="spellEnd"/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9, 10-720 Olsztyn</w:t>
      </w:r>
    </w:p>
    <w:p w14:paraId="574AC9DE" w14:textId="1A4658E5" w:rsidR="00EE5F8F" w:rsidRPr="00AD0AF4" w:rsidRDefault="00EE5F8F" w:rsidP="00AD0AF4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p. pokój nr 117</w:t>
      </w:r>
    </w:p>
    <w:p w14:paraId="08A253C1" w14:textId="109E1306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Sposób składania wniosków</w:t>
      </w:r>
    </w:p>
    <w:p w14:paraId="5673DA85" w14:textId="23966254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Wnioski należy złożyć </w:t>
      </w:r>
      <w:r w:rsidR="00EE5F8F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 </w:t>
      </w:r>
      <w:r w:rsidR="00EE5F8F"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22.10.2025 r</w:t>
      </w:r>
      <w:r w:rsidR="00EE5F8F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formie papierowej w siedzibie Centrum Współpracy z Otoczeniem Społeczno-Gospodarczym </w:t>
      </w:r>
      <w:r w:rsidR="00EE5F8F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do godz. 15.30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oraz wysłać w formie elektronicznej (edytowalnej) na adres: </w:t>
      </w:r>
      <w:hyperlink r:id="rId8" w:history="1">
        <w:r w:rsidRPr="00AD0AF4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:lang w:eastAsia="pl-PL"/>
            <w14:ligatures w14:val="none"/>
          </w:rPr>
          <w:t xml:space="preserve">uslugibr@uwm.edu.pl </w:t>
        </w:r>
      </w:hyperlink>
      <w:r w:rsidR="00764D77" w:rsidRPr="00AD0AF4">
        <w:rPr>
          <w:rFonts w:ascii="Arial" w:hAnsi="Arial" w:cs="Arial"/>
          <w:sz w:val="24"/>
          <w:szCs w:val="24"/>
        </w:rPr>
        <w:t>do końca dnia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592FE21" w14:textId="773D87EE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 xml:space="preserve">Poziom dofinansowania </w:t>
      </w:r>
      <w:r w:rsidR="00D36882"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pracy B+R</w:t>
      </w:r>
    </w:p>
    <w:p w14:paraId="29566A7D" w14:textId="20D6D5B5" w:rsidR="00011601" w:rsidRPr="00AD0AF4" w:rsidRDefault="00011601" w:rsidP="00AD0AF4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Maksymalna wartość dofinansowania, o jaką można wnioskować 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wynosi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260 000,00 PLN</w:t>
      </w:r>
      <w:r w:rsidR="000B2BB9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84537E8" w14:textId="2D7B4A40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Wynagrodzenia 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 ramach pracy B+R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rozliczane 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będą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podstawie kosztów uproszczonych 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wymiarze godzinowym 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(zgodnie ze stawką jednostkową określoną w metodyce będącej załącznikiem nr 3 do zaakceptowanego wniosku o dofinansowanie</w:t>
      </w:r>
      <w:r w:rsidR="0096501E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*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).</w:t>
      </w:r>
    </w:p>
    <w:p w14:paraId="53D7E8B3" w14:textId="10F8617A" w:rsidR="00C7292D" w:rsidRPr="00AD0AF4" w:rsidRDefault="00C7292D" w:rsidP="00AD0AF4">
      <w:pPr>
        <w:spacing w:before="240" w:after="24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Na każdy projekt B+R ustala się maksymalny limit godzin pracy rozliczanych w ramach wynagrodzeń, wynoszący </w:t>
      </w: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850 godzin</w:t>
      </w: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za cały okres realizacji projektu. Limit ten obowiązuje niezależnie od liczby osób zaangażowanych w realizację projektu. </w:t>
      </w:r>
    </w:p>
    <w:p w14:paraId="2481BE6A" w14:textId="182FF8DE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Nie jest możliwe dokonywanie przesunięć pomiędzy kategoriami kosztów rozliczanymi za pomocą metod uproszczonych a pozostałymi kategoriami kosztów</w:t>
      </w:r>
      <w:r w:rsidR="00C7292D"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4D9CCAE9" w14:textId="5B21A16B" w:rsidR="00F60A4D" w:rsidRPr="00AD0AF4" w:rsidRDefault="00F60A4D" w:rsidP="00AD0AF4">
      <w:pPr>
        <w:spacing w:before="240" w:after="24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skład kategorii kosztów wchodzą: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10"/>
        <w:gridCol w:w="1405"/>
        <w:gridCol w:w="2542"/>
        <w:gridCol w:w="2153"/>
        <w:gridCol w:w="2542"/>
      </w:tblGrid>
      <w:tr w:rsidR="00F60A4D" w:rsidRPr="00AD0AF4" w14:paraId="187E3C6A" w14:textId="77777777" w:rsidTr="00F60A4D">
        <w:trPr>
          <w:trHeight w:val="452"/>
        </w:trPr>
        <w:tc>
          <w:tcPr>
            <w:tcW w:w="1161" w:type="pct"/>
            <w:gridSpan w:val="2"/>
            <w:shd w:val="clear" w:color="auto" w:fill="D1D1D1" w:themeFill="background2" w:themeFillShade="E6"/>
            <w:vAlign w:val="center"/>
          </w:tcPr>
          <w:p w14:paraId="30B37819" w14:textId="77777777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KATEGORIA KOSZTU</w:t>
            </w:r>
          </w:p>
        </w:tc>
        <w:tc>
          <w:tcPr>
            <w:tcW w:w="1233" w:type="pct"/>
            <w:shd w:val="clear" w:color="auto" w:fill="D1D1D1" w:themeFill="background2" w:themeFillShade="E6"/>
            <w:vAlign w:val="center"/>
          </w:tcPr>
          <w:p w14:paraId="7013120C" w14:textId="77777777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NAZWA KOSZTU</w:t>
            </w:r>
          </w:p>
        </w:tc>
        <w:tc>
          <w:tcPr>
            <w:tcW w:w="1161" w:type="pct"/>
            <w:shd w:val="clear" w:color="auto" w:fill="D1D1D1" w:themeFill="background2" w:themeFillShade="E6"/>
            <w:vAlign w:val="center"/>
          </w:tcPr>
          <w:p w14:paraId="26A854B1" w14:textId="77777777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OPIS KOSZTU</w:t>
            </w:r>
          </w:p>
        </w:tc>
        <w:tc>
          <w:tcPr>
            <w:tcW w:w="1446" w:type="pct"/>
            <w:shd w:val="clear" w:color="auto" w:fill="D1D1D1" w:themeFill="background2" w:themeFillShade="E6"/>
            <w:vAlign w:val="center"/>
          </w:tcPr>
          <w:p w14:paraId="22C5C75F" w14:textId="7D6ADC80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>WYJAŚNIENI</w:t>
            </w:r>
            <w:r w:rsidR="000B2BB9"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E </w:t>
            </w:r>
            <w:r w:rsidRPr="00AD0AF4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  <w:t xml:space="preserve">I PRZYKŁADOWE WYDATKI </w:t>
            </w:r>
          </w:p>
        </w:tc>
      </w:tr>
      <w:tr w:rsidR="00F60A4D" w:rsidRPr="00AD0AF4" w14:paraId="657A8270" w14:textId="77777777" w:rsidTr="000B2BB9">
        <w:trPr>
          <w:trHeight w:val="624"/>
        </w:trPr>
        <w:tc>
          <w:tcPr>
            <w:tcW w:w="5000" w:type="pct"/>
            <w:gridSpan w:val="5"/>
            <w:shd w:val="clear" w:color="auto" w:fill="E8E8E8" w:themeFill="background2"/>
          </w:tcPr>
          <w:p w14:paraId="3DE06B20" w14:textId="77777777" w:rsidR="00F60A4D" w:rsidRPr="00AD0AF4" w:rsidRDefault="00F60A4D" w:rsidP="00AD0AF4">
            <w:pPr>
              <w:spacing w:before="240" w:after="240" w:line="36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I. KATEGORIA WYDATKU: Koszty bezpośrednie rozliczane w oparciu o limity stawek jednostkowych</w:t>
            </w:r>
          </w:p>
        </w:tc>
      </w:tr>
      <w:tr w:rsidR="00F60A4D" w:rsidRPr="00AD0AF4" w14:paraId="03283D8D" w14:textId="77777777" w:rsidTr="00F60A4D">
        <w:trPr>
          <w:trHeight w:val="619"/>
        </w:trPr>
        <w:tc>
          <w:tcPr>
            <w:tcW w:w="217" w:type="pct"/>
          </w:tcPr>
          <w:p w14:paraId="27EAFE65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944" w:type="pct"/>
          </w:tcPr>
          <w:p w14:paraId="72175472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Personel projektu </w:t>
            </w:r>
          </w:p>
        </w:tc>
        <w:tc>
          <w:tcPr>
            <w:tcW w:w="1233" w:type="pct"/>
          </w:tcPr>
          <w:p w14:paraId="040F9DF7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Stawka godzinowa dla Zespołu Badawczego [art. 55(2-5) CPR] Wynagrodzenia osób zaangażowanych bezpośrednio w realizację celu Projektu, rozumiane jako zatrudnienie etatowe.</w:t>
            </w:r>
          </w:p>
        </w:tc>
        <w:tc>
          <w:tcPr>
            <w:tcW w:w="1161" w:type="pct"/>
          </w:tcPr>
          <w:p w14:paraId="662BCCA4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Koszt wynagrodzenia bezpośredniego personelu merytorycznego – zespołów</w:t>
            </w:r>
          </w:p>
          <w:p w14:paraId="3956AD75" w14:textId="439198C2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naukowych (badaczy/twórców) realizujących prace B+R rozumiane jako zatrudnienie etatowe - stawka jednostkowa na kwalifikowane składniki wynagrodzenia brutto </w:t>
            </w:r>
            <w:proofErr w:type="spellStart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brutto</w:t>
            </w:r>
            <w:proofErr w:type="spellEnd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w wysokości 117 zł za godzinę. </w:t>
            </w:r>
            <w:r w:rsidR="000B2BB9"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Ostateczna wysokość wynagrodzenia ustalana jest zgodnie z obowiązującymi wewnętrznymi </w:t>
            </w:r>
            <w:r w:rsidR="000B2BB9"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przepisami prawnymi.</w:t>
            </w:r>
          </w:p>
          <w:p w14:paraId="4D494156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E5C664C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6" w:type="pct"/>
          </w:tcPr>
          <w:p w14:paraId="09CD3439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Stawka jednostkowa wynagrodzenia rozliczana jest wyłącznie w zakresie godzin przepracowanych na realizację wniosku według Karty Czasu Pracy. </w:t>
            </w:r>
          </w:p>
          <w:p w14:paraId="19417710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Stawka jednostkowa dotyczy wyłącznie faktycznie przepracowanych godzin zegarowych (60 minut) poświęconych na realizację zadań we wniosku przez osoby zatrudnione u Organizatora Konkursu w oparciu o umowę o pracę.</w:t>
            </w:r>
          </w:p>
          <w:p w14:paraId="23656033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Metoda wyliczenia stawki jednostkowej uwzględnia okres urlopowy oraz ustawowy czas wolny od pracy, który nie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jest w związku z tym kwalifikowany w ramach rozliczenia stawki jednostkowej.</w:t>
            </w:r>
          </w:p>
        </w:tc>
      </w:tr>
      <w:tr w:rsidR="00F60A4D" w:rsidRPr="00AD0AF4" w14:paraId="45FBCEED" w14:textId="77777777" w:rsidTr="00F60A4D">
        <w:trPr>
          <w:trHeight w:val="384"/>
        </w:trPr>
        <w:tc>
          <w:tcPr>
            <w:tcW w:w="5000" w:type="pct"/>
            <w:gridSpan w:val="5"/>
            <w:shd w:val="clear" w:color="auto" w:fill="E8E8E8" w:themeFill="background2"/>
          </w:tcPr>
          <w:p w14:paraId="10632129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II. KATEGORIA WYDATKU: Koszty bezpośrednie rozliczane po kosztach rzeczywistych </w:t>
            </w:r>
          </w:p>
        </w:tc>
      </w:tr>
      <w:tr w:rsidR="00F60A4D" w:rsidRPr="00AD0AF4" w14:paraId="7EC911C1" w14:textId="77777777" w:rsidTr="00F60A4D">
        <w:trPr>
          <w:trHeight w:val="2351"/>
        </w:trPr>
        <w:tc>
          <w:tcPr>
            <w:tcW w:w="217" w:type="pct"/>
          </w:tcPr>
          <w:p w14:paraId="6D48CA6D" w14:textId="713A8662" w:rsidR="00F60A4D" w:rsidRPr="00AD0AF4" w:rsidRDefault="000B2BB9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944" w:type="pct"/>
          </w:tcPr>
          <w:p w14:paraId="1C8AA538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zewnętrzne</w:t>
            </w:r>
          </w:p>
        </w:tc>
        <w:tc>
          <w:tcPr>
            <w:tcW w:w="1233" w:type="pct"/>
          </w:tcPr>
          <w:p w14:paraId="0DF1254C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informatyczne i oprogramowanie, w tym np. zakup licencji, wdrażanie systemów do zarządzania własnością intelektualną, komercjalizacją i współpracą z gospodarką.</w:t>
            </w:r>
          </w:p>
        </w:tc>
        <w:tc>
          <w:tcPr>
            <w:tcW w:w="1161" w:type="pct"/>
          </w:tcPr>
          <w:p w14:paraId="773080D0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Wydatki na zakup usług informatycznych i oprogramowania, w tym np. zakup licencji oprogramowania.</w:t>
            </w:r>
          </w:p>
        </w:tc>
        <w:tc>
          <w:tcPr>
            <w:tcW w:w="1446" w:type="pct"/>
          </w:tcPr>
          <w:p w14:paraId="6D2384D3" w14:textId="298FD612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Usługi informatyczne – usługi związane np. z opracowaniem algorytmów przez firmy zewnętrzne. </w:t>
            </w:r>
          </w:p>
          <w:p w14:paraId="06AB903C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 ramach tej usługi NIE są tworzone strony internetowe dedykowane pojedynczej pracy B+R. np. licencja </w:t>
            </w:r>
            <w:proofErr w:type="spellStart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OriginLab</w:t>
            </w:r>
            <w:proofErr w:type="spellEnd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</w:tr>
      <w:tr w:rsidR="00F60A4D" w:rsidRPr="00AD0AF4" w14:paraId="6162D54F" w14:textId="77777777" w:rsidTr="00F60A4D">
        <w:trPr>
          <w:trHeight w:val="2351"/>
        </w:trPr>
        <w:tc>
          <w:tcPr>
            <w:tcW w:w="217" w:type="pct"/>
          </w:tcPr>
          <w:p w14:paraId="02BB0FA7" w14:textId="26AAF2DC" w:rsidR="00F60A4D" w:rsidRPr="00AD0AF4" w:rsidRDefault="000B2BB9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44" w:type="pct"/>
          </w:tcPr>
          <w:p w14:paraId="5D543AEE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zewnętrzne</w:t>
            </w:r>
          </w:p>
        </w:tc>
        <w:tc>
          <w:tcPr>
            <w:tcW w:w="1233" w:type="pct"/>
          </w:tcPr>
          <w:p w14:paraId="03659E53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badawcze, doradcze, ekonomiczne i prawne, marketingowe ekspertyzy, opracowania, wyceny, analizy i raporty niezbędne do prawidłowej realizacji zadania</w:t>
            </w:r>
          </w:p>
        </w:tc>
        <w:tc>
          <w:tcPr>
            <w:tcW w:w="1161" w:type="pct"/>
          </w:tcPr>
          <w:p w14:paraId="6C7782CF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badawcze wykonywane przez firmy zewnętrzne (nie mogą to być usługi wykonane np. w innym laboratorium Konsorcjantów przez jego pracowników).</w:t>
            </w:r>
          </w:p>
        </w:tc>
        <w:tc>
          <w:tcPr>
            <w:tcW w:w="1446" w:type="pct"/>
          </w:tcPr>
          <w:p w14:paraId="3FE222EE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Wydatki np. na płatne raporty branżowe, koszty wyceny </w:t>
            </w:r>
            <w:proofErr w:type="spellStart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własnosci</w:t>
            </w:r>
            <w:proofErr w:type="spellEnd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intelektualnej (DI) na cele transakcyjne.</w:t>
            </w:r>
          </w:p>
        </w:tc>
      </w:tr>
      <w:tr w:rsidR="00F60A4D" w:rsidRPr="00AD0AF4" w14:paraId="529021C9" w14:textId="77777777" w:rsidTr="0096501E">
        <w:trPr>
          <w:trHeight w:val="521"/>
        </w:trPr>
        <w:tc>
          <w:tcPr>
            <w:tcW w:w="217" w:type="pct"/>
          </w:tcPr>
          <w:p w14:paraId="27A4D2A1" w14:textId="645594ED" w:rsidR="00F60A4D" w:rsidRPr="00AD0AF4" w:rsidRDefault="000B2BB9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3</w:t>
            </w:r>
          </w:p>
          <w:p w14:paraId="79314406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4" w:type="pct"/>
          </w:tcPr>
          <w:p w14:paraId="720B9CB4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Dostawy (inne niż środki trwałe)</w:t>
            </w:r>
          </w:p>
        </w:tc>
        <w:tc>
          <w:tcPr>
            <w:tcW w:w="1233" w:type="pct"/>
          </w:tcPr>
          <w:p w14:paraId="42878F6A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Zakup/wynajem wyposażenia innego niż środki trwałe</w:t>
            </w:r>
          </w:p>
        </w:tc>
        <w:tc>
          <w:tcPr>
            <w:tcW w:w="1161" w:type="pct"/>
          </w:tcPr>
          <w:p w14:paraId="6595B03E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Wydatki na zakup/wynajem wyposażenia innego niż środki trwałe</w:t>
            </w:r>
          </w:p>
          <w:p w14:paraId="3A973974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683E571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D05F2C6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083F5DCA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446" w:type="pct"/>
          </w:tcPr>
          <w:p w14:paraId="01FDC948" w14:textId="4EC49EE6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Wydatki</w:t>
            </w:r>
            <w:r w:rsidR="00146198"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</w:t>
            </w:r>
            <w:r w:rsidR="00146198"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zakup lub wynajem m in. wyposażenia laboratoryjnego.</w:t>
            </w:r>
          </w:p>
          <w:p w14:paraId="001F79CB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Kwalifikowalne są tylko koszty dla prac badawczych, odpowiadające okresowi trwania projektu i nie ma możliwości kwalifikowania kosztów rozliczanych w formie leasingu lub zakupu, w tym stanowiących środki trwałe,  używanych w toku prowadzonych prac badawczych w module B+R.</w:t>
            </w:r>
          </w:p>
        </w:tc>
      </w:tr>
      <w:tr w:rsidR="00F60A4D" w:rsidRPr="00AD0AF4" w14:paraId="16D8C58D" w14:textId="77777777" w:rsidTr="00F60A4D">
        <w:trPr>
          <w:trHeight w:val="1422"/>
        </w:trPr>
        <w:tc>
          <w:tcPr>
            <w:tcW w:w="217" w:type="pct"/>
          </w:tcPr>
          <w:p w14:paraId="7E6CFFF7" w14:textId="0F66D36D" w:rsidR="00F60A4D" w:rsidRPr="00AD0AF4" w:rsidRDefault="000B2BB9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944" w:type="pct"/>
          </w:tcPr>
          <w:p w14:paraId="36A4A283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Dostawa (inne niż środki trwałe)</w:t>
            </w:r>
          </w:p>
        </w:tc>
        <w:tc>
          <w:tcPr>
            <w:tcW w:w="1233" w:type="pct"/>
          </w:tcPr>
          <w:p w14:paraId="64FB5820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Zakup materiałów i surowców oraz usług technicznych związanych z prototypowaniem (cięcie, projektowanie, spawanie, malowanie, skanowanie, wydruki 3D, transport i usługi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kurierskie i inne usługi nieposiadające pierwiastka/charakteru twórczego)</w:t>
            </w:r>
          </w:p>
        </w:tc>
        <w:tc>
          <w:tcPr>
            <w:tcW w:w="1161" w:type="pct"/>
          </w:tcPr>
          <w:p w14:paraId="1970A9FB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Wydatki na zakup materiałów i surowców oraz usług technicznych związanych z prototypowaniem </w:t>
            </w:r>
          </w:p>
        </w:tc>
        <w:tc>
          <w:tcPr>
            <w:tcW w:w="1446" w:type="pct"/>
          </w:tcPr>
          <w:p w14:paraId="1235BA4F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Wydatki na zakup np. odczynników chemicznych, laboratoryjnych, części elektrycznych, części </w:t>
            </w:r>
            <w:proofErr w:type="spellStart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doposażających</w:t>
            </w:r>
            <w:proofErr w:type="spellEnd"/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 specjalistyczne stanowisko  laboratoryjne bez podnoszenia jego </w:t>
            </w: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wartości w ramach środka trwałego. </w:t>
            </w:r>
          </w:p>
          <w:p w14:paraId="544298C9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ramach kategorii nie można zmontować od podstaw środka trwałego.</w:t>
            </w:r>
          </w:p>
          <w:p w14:paraId="19EC3C7A" w14:textId="77777777" w:rsidR="00F60A4D" w:rsidRPr="00AD0AF4" w:rsidRDefault="00F60A4D" w:rsidP="00AD0AF4">
            <w:pPr>
              <w:spacing w:after="0" w:line="36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D0AF4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Usługi techniczne to cięcie, projektowanie, spawanie, malowanie, skanowanie, wydruki 3D, transport i usługi kurierskie i inne usługi nieposiadające pierwiastka/charakteru twórczego.</w:t>
            </w:r>
          </w:p>
        </w:tc>
      </w:tr>
    </w:tbl>
    <w:p w14:paraId="6BF5D4C1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lastRenderedPageBreak/>
        <w:t>Pula środków przeznaczona na nabór wniosków</w:t>
      </w:r>
    </w:p>
    <w:p w14:paraId="716EF103" w14:textId="6FCE8137" w:rsidR="00D36882" w:rsidRPr="00AD0AF4" w:rsidRDefault="00D36882" w:rsidP="00AD0AF4">
      <w:pPr>
        <w:spacing w:before="240" w:after="24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1 560 000,00 </w:t>
      </w:r>
      <w:r w:rsidR="006806AC"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PLN</w:t>
      </w:r>
    </w:p>
    <w:p w14:paraId="1D6221F1" w14:textId="77777777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Niezbędne dokumenty</w:t>
      </w:r>
    </w:p>
    <w:p w14:paraId="58BCCBDA" w14:textId="3EA7B209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Wzór wniosku, regulamin naboru wraz z załącznikami dostępny jest na stronie internetowej:</w:t>
      </w:r>
      <w:hyperlink r:id="rId9" w:history="1">
        <w:r w:rsidRPr="00AD0AF4">
          <w:rPr>
            <w:rFonts w:ascii="Arial" w:eastAsia="Times New Roman" w:hAnsi="Arial" w:cs="Arial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 xml:space="preserve"> </w:t>
        </w:r>
        <w:r w:rsidR="004D549D" w:rsidRPr="00AD0AF4">
          <w:rPr>
            <w:rFonts w:ascii="Arial" w:eastAsia="Times New Roman" w:hAnsi="Arial" w:cs="Arial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cwo.uwm.edu.pl</w:t>
        </w:r>
      </w:hyperlink>
    </w:p>
    <w:p w14:paraId="5DE557F7" w14:textId="4A385734" w:rsidR="00011601" w:rsidRPr="00AD0AF4" w:rsidRDefault="00011601" w:rsidP="00AD0AF4">
      <w:pPr>
        <w:spacing w:before="240" w:after="24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Kontakt</w:t>
      </w:r>
    </w:p>
    <w:p w14:paraId="426C7C8A" w14:textId="77777777" w:rsidR="00011601" w:rsidRPr="00AD0AF4" w:rsidRDefault="00011601" w:rsidP="00AD0AF4">
      <w:pPr>
        <w:spacing w:before="240"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Pytania dotyczące dokumentacji aplikacyjnej należy kierować:</w:t>
      </w:r>
    </w:p>
    <w:p w14:paraId="56F2A3DB" w14:textId="58CB1C81" w:rsidR="00011601" w:rsidRPr="00AD0AF4" w:rsidRDefault="00011601" w:rsidP="00AD0AF4">
      <w:pPr>
        <w:pStyle w:val="Akapitzlist"/>
        <w:numPr>
          <w:ilvl w:val="0"/>
          <w:numId w:val="8"/>
        </w:numPr>
        <w:spacing w:after="240" w:line="360" w:lineRule="auto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email:</w:t>
      </w:r>
      <w:r w:rsidR="00D36882"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hyperlink r:id="rId10" w:history="1">
        <w:r w:rsidR="00D36882" w:rsidRPr="00AD0AF4">
          <w:rPr>
            <w:rStyle w:val="Hipercze"/>
            <w:rFonts w:ascii="Arial" w:eastAsia="Times New Roman" w:hAnsi="Arial" w:cs="Arial"/>
            <w:color w:val="auto"/>
            <w:kern w:val="0"/>
            <w:sz w:val="24"/>
            <w:szCs w:val="24"/>
            <w:lang w:eastAsia="pl-PL"/>
            <w14:ligatures w14:val="none"/>
          </w:rPr>
          <w:t>uslugibr@uwm.edu.pl</w:t>
        </w:r>
      </w:hyperlink>
    </w:p>
    <w:p w14:paraId="51B34810" w14:textId="1A5188DD" w:rsidR="00D36882" w:rsidRPr="00AD0AF4" w:rsidRDefault="00D36882" w:rsidP="00AD0AF4">
      <w:pPr>
        <w:pStyle w:val="Akapitzlist"/>
        <w:numPr>
          <w:ilvl w:val="0"/>
          <w:numId w:val="8"/>
        </w:numPr>
        <w:spacing w:after="240" w:line="360" w:lineRule="auto"/>
        <w:ind w:left="0" w:firstLine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proofErr w:type="spellStart"/>
      <w:r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</w:t>
      </w:r>
      <w:proofErr w:type="spellEnd"/>
      <w:r w:rsidRPr="00AD0A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 89 524 58 14</w:t>
      </w:r>
    </w:p>
    <w:sectPr w:rsidR="00D36882" w:rsidRPr="00AD0AF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67375" w14:textId="77777777" w:rsidR="00CC6903" w:rsidRDefault="00CC6903" w:rsidP="00CC6903">
      <w:pPr>
        <w:spacing w:after="0" w:line="240" w:lineRule="auto"/>
      </w:pPr>
      <w:r>
        <w:separator/>
      </w:r>
    </w:p>
  </w:endnote>
  <w:endnote w:type="continuationSeparator" w:id="0">
    <w:p w14:paraId="43DB84AE" w14:textId="77777777" w:rsidR="00CC6903" w:rsidRDefault="00CC6903" w:rsidP="00CC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32A31" w14:textId="2F282E16" w:rsidR="00B273A5" w:rsidRDefault="00B273A5">
    <w:pPr>
      <w:pStyle w:val="Stopka"/>
    </w:pPr>
    <w:r>
      <w:rPr>
        <w:rFonts w:ascii="Arial" w:hAnsi="Arial" w:cs="Arial"/>
        <w:i/>
        <w:iCs/>
        <w:color w:val="000000"/>
        <w:sz w:val="20"/>
        <w:szCs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6D650C4D" w14:textId="77777777" w:rsidR="00CC6903" w:rsidRDefault="00CC69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6CE46" w14:textId="77777777" w:rsidR="00CC6903" w:rsidRDefault="00CC6903" w:rsidP="00CC6903">
      <w:pPr>
        <w:spacing w:after="0" w:line="240" w:lineRule="auto"/>
      </w:pPr>
      <w:r>
        <w:separator/>
      </w:r>
    </w:p>
  </w:footnote>
  <w:footnote w:type="continuationSeparator" w:id="0">
    <w:p w14:paraId="78BB920E" w14:textId="77777777" w:rsidR="00CC6903" w:rsidRDefault="00CC6903" w:rsidP="00CC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D4D1" w14:textId="2AE4FE56" w:rsidR="00B273A5" w:rsidRDefault="00B273A5" w:rsidP="00B273A5">
    <w:pPr>
      <w:pStyle w:val="Nagwek"/>
      <w:jc w:val="center"/>
    </w:pPr>
    <w:r w:rsidRPr="00B273A5">
      <w:rPr>
        <w:noProof/>
      </w:rPr>
      <w:drawing>
        <wp:inline distT="0" distB="0" distL="0" distR="0" wp14:anchorId="4B54BF4B" wp14:editId="1CDE9EE6">
          <wp:extent cx="5732145" cy="573405"/>
          <wp:effectExtent l="0" t="0" r="1905" b="0"/>
          <wp:docPr id="14805126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4389A2" w14:textId="02B7E1BE" w:rsidR="00CC6903" w:rsidRDefault="00CC6903" w:rsidP="00CC6903">
    <w:pPr>
      <w:pStyle w:val="Nagwek"/>
      <w:tabs>
        <w:tab w:val="clear" w:pos="4536"/>
        <w:tab w:val="clear" w:pos="9072"/>
        <w:tab w:val="left" w:pos="28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5B48"/>
    <w:multiLevelType w:val="multilevel"/>
    <w:tmpl w:val="406A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4003F"/>
    <w:multiLevelType w:val="multilevel"/>
    <w:tmpl w:val="4044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23769"/>
    <w:multiLevelType w:val="hybridMultilevel"/>
    <w:tmpl w:val="FF924D1E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CBD5C56"/>
    <w:multiLevelType w:val="hybridMultilevel"/>
    <w:tmpl w:val="C05869F6"/>
    <w:lvl w:ilvl="0" w:tplc="4B322DC8">
      <w:numFmt w:val="bullet"/>
      <w:lvlText w:val="·"/>
      <w:lvlJc w:val="left"/>
      <w:pPr>
        <w:ind w:left="795" w:hanging="375"/>
      </w:pPr>
      <w:rPr>
        <w:rFonts w:ascii="Arial" w:eastAsia="Times New Roman" w:hAnsi="Arial" w:cs="Arial" w:hint="default"/>
        <w:color w:val="156082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9E26F5"/>
    <w:multiLevelType w:val="multilevel"/>
    <w:tmpl w:val="5C9C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946256"/>
    <w:multiLevelType w:val="hybridMultilevel"/>
    <w:tmpl w:val="743A69C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C1921CC"/>
    <w:multiLevelType w:val="hybridMultilevel"/>
    <w:tmpl w:val="CDBE8982"/>
    <w:lvl w:ilvl="0" w:tplc="04150001">
      <w:start w:val="1"/>
      <w:numFmt w:val="bullet"/>
      <w:lvlText w:val=""/>
      <w:lvlJc w:val="left"/>
      <w:pPr>
        <w:ind w:left="795" w:hanging="375"/>
      </w:pPr>
      <w:rPr>
        <w:rFonts w:ascii="Symbol" w:hAnsi="Symbol" w:hint="default"/>
        <w:color w:val="156082"/>
        <w:sz w:val="20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D707C90"/>
    <w:multiLevelType w:val="multilevel"/>
    <w:tmpl w:val="C8B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232598">
    <w:abstractNumId w:val="0"/>
  </w:num>
  <w:num w:numId="2" w16cid:durableId="1665890001">
    <w:abstractNumId w:val="1"/>
  </w:num>
  <w:num w:numId="3" w16cid:durableId="2098935644">
    <w:abstractNumId w:val="5"/>
  </w:num>
  <w:num w:numId="4" w16cid:durableId="6444699">
    <w:abstractNumId w:val="7"/>
  </w:num>
  <w:num w:numId="5" w16cid:durableId="1696537389">
    <w:abstractNumId w:val="4"/>
  </w:num>
  <w:num w:numId="6" w16cid:durableId="686909280">
    <w:abstractNumId w:val="2"/>
  </w:num>
  <w:num w:numId="7" w16cid:durableId="1513908415">
    <w:abstractNumId w:val="3"/>
  </w:num>
  <w:num w:numId="8" w16cid:durableId="1311404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903"/>
    <w:rsid w:val="00011601"/>
    <w:rsid w:val="0003244D"/>
    <w:rsid w:val="00070F60"/>
    <w:rsid w:val="000B2BB9"/>
    <w:rsid w:val="00123C3E"/>
    <w:rsid w:val="001451B2"/>
    <w:rsid w:val="00146198"/>
    <w:rsid w:val="001C0913"/>
    <w:rsid w:val="001F6419"/>
    <w:rsid w:val="0028013A"/>
    <w:rsid w:val="002B4005"/>
    <w:rsid w:val="002B5FF4"/>
    <w:rsid w:val="00387F43"/>
    <w:rsid w:val="003A7E99"/>
    <w:rsid w:val="0041448A"/>
    <w:rsid w:val="0047719D"/>
    <w:rsid w:val="004D549D"/>
    <w:rsid w:val="005765AD"/>
    <w:rsid w:val="005F73F0"/>
    <w:rsid w:val="006806AC"/>
    <w:rsid w:val="006A65C2"/>
    <w:rsid w:val="006C11C8"/>
    <w:rsid w:val="007465DB"/>
    <w:rsid w:val="00757A92"/>
    <w:rsid w:val="00764D77"/>
    <w:rsid w:val="007F2629"/>
    <w:rsid w:val="008F27D7"/>
    <w:rsid w:val="00905FD4"/>
    <w:rsid w:val="00917AED"/>
    <w:rsid w:val="00933357"/>
    <w:rsid w:val="0096501E"/>
    <w:rsid w:val="009B2A8E"/>
    <w:rsid w:val="009E60AE"/>
    <w:rsid w:val="00A7257F"/>
    <w:rsid w:val="00A74CE0"/>
    <w:rsid w:val="00AD0AF4"/>
    <w:rsid w:val="00AD39E7"/>
    <w:rsid w:val="00B273A5"/>
    <w:rsid w:val="00B83DCB"/>
    <w:rsid w:val="00BC7C72"/>
    <w:rsid w:val="00C7292D"/>
    <w:rsid w:val="00CC6903"/>
    <w:rsid w:val="00CD2D54"/>
    <w:rsid w:val="00D36882"/>
    <w:rsid w:val="00D56C4D"/>
    <w:rsid w:val="00EB43A2"/>
    <w:rsid w:val="00EE5F8F"/>
    <w:rsid w:val="00EF185B"/>
    <w:rsid w:val="00F258B2"/>
    <w:rsid w:val="00F60A4D"/>
    <w:rsid w:val="00FB0FB3"/>
    <w:rsid w:val="00F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D74D7C4"/>
  <w15:chartTrackingRefBased/>
  <w15:docId w15:val="{4E780F59-F407-485E-979B-120D9C8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6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69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69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6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6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6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6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6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6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69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6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69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690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903"/>
  </w:style>
  <w:style w:type="paragraph" w:styleId="Stopka">
    <w:name w:val="footer"/>
    <w:basedOn w:val="Normalny"/>
    <w:link w:val="StopkaZnak"/>
    <w:uiPriority w:val="99"/>
    <w:unhideWhenUsed/>
    <w:rsid w:val="00CC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903"/>
  </w:style>
  <w:style w:type="character" w:styleId="Hipercze">
    <w:name w:val="Hyperlink"/>
    <w:basedOn w:val="Domylnaczcionkaakapitu"/>
    <w:uiPriority w:val="99"/>
    <w:unhideWhenUsed/>
    <w:rsid w:val="00CC69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6903"/>
    <w:rPr>
      <w:color w:val="605E5C"/>
      <w:shd w:val="clear" w:color="auto" w:fill="E1DFDD"/>
    </w:rPr>
  </w:style>
  <w:style w:type="character" w:customStyle="1" w:styleId="Tytu1">
    <w:name w:val="Tytuł1"/>
    <w:basedOn w:val="Domylnaczcionkaakapitu"/>
    <w:rsid w:val="00CC6903"/>
  </w:style>
  <w:style w:type="character" w:customStyle="1" w:styleId="datefrom">
    <w:name w:val="datefrom"/>
    <w:basedOn w:val="Domylnaczcionkaakapitu"/>
    <w:rsid w:val="00CC6903"/>
  </w:style>
  <w:style w:type="character" w:customStyle="1" w:styleId="dateto">
    <w:name w:val="dateto"/>
    <w:basedOn w:val="Domylnaczcionkaakapitu"/>
    <w:rsid w:val="00CC6903"/>
  </w:style>
  <w:style w:type="character" w:styleId="Odwoaniedokomentarza">
    <w:name w:val="annotation reference"/>
    <w:basedOn w:val="Domylnaczcionkaakapitu"/>
    <w:uiPriority w:val="99"/>
    <w:semiHidden/>
    <w:unhideWhenUsed/>
    <w:rsid w:val="002801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1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13A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D77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4D77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lugibr@uwm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slugibr@uw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wo.uwm.edu.pl/node/107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Kieda</dc:creator>
  <cp:keywords/>
  <dc:description/>
  <cp:lastModifiedBy>Karolina Kieda</cp:lastModifiedBy>
  <cp:revision>7</cp:revision>
  <cp:lastPrinted>2025-09-23T14:15:00Z</cp:lastPrinted>
  <dcterms:created xsi:type="dcterms:W3CDTF">2025-09-16T05:58:00Z</dcterms:created>
  <dcterms:modified xsi:type="dcterms:W3CDTF">2025-09-25T11:38:00Z</dcterms:modified>
</cp:coreProperties>
</file>